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DC6" w:rsidRDefault="00570DC6" w:rsidP="001C3D61">
      <w:pPr>
        <w:spacing w:line="600" w:lineRule="exact"/>
        <w:contextualSpacing/>
        <w:rPr>
          <w:rFonts w:ascii="Times New Roman" w:hAnsi="Times New Roman" w:cs="Times New Roman"/>
        </w:rPr>
      </w:pPr>
    </w:p>
    <w:p w:rsidR="00570DC6" w:rsidRPr="00F160F4" w:rsidRDefault="00000000" w:rsidP="001C3D61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160F4"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陕西氢能产业发展有限公司</w:t>
      </w:r>
    </w:p>
    <w:p w:rsidR="00570DC6" w:rsidRPr="00F160F4" w:rsidRDefault="00000000" w:rsidP="001C3D61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160F4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“揭榜挂帅”关键技术攻关项目</w:t>
      </w:r>
    </w:p>
    <w:p w:rsidR="00570DC6" w:rsidRDefault="00570DC6" w:rsidP="001C3D61">
      <w:pPr>
        <w:spacing w:line="60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570DC6" w:rsidRDefault="00000000" w:rsidP="001C3D61">
      <w:pPr>
        <w:pStyle w:val="a7"/>
        <w:widowControl w:val="0"/>
        <w:spacing w:before="0" w:beforeAutospacing="0" w:after="0" w:afterAutospacing="0" w:line="600" w:lineRule="exact"/>
        <w:ind w:firstLine="640"/>
        <w:contextualSpacing/>
        <w:jc w:val="both"/>
        <w:rPr>
          <w:rFonts w:ascii="Times New Roman" w:eastAsia="仿宋_GB2312" w:hAnsi="Times New Roman" w:cs="Times New Roman"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kern w:val="36"/>
          <w:sz w:val="32"/>
          <w:szCs w:val="32"/>
        </w:rPr>
        <w:t>陕西氢能产业发展有限公司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（以下简称“陕西氢能”）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揭榜挂帅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关键</w:t>
      </w:r>
      <w:r>
        <w:rPr>
          <w:rFonts w:ascii="Times New Roman" w:eastAsia="仿宋_GB2312" w:hAnsi="Times New Roman" w:cs="Times New Roman"/>
          <w:sz w:val="32"/>
          <w:szCs w:val="32"/>
        </w:rPr>
        <w:t>技术攻关项目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“固体氧化物燃料电池技术研发与应用示范”</w:t>
      </w:r>
      <w:r>
        <w:rPr>
          <w:rFonts w:ascii="Times New Roman" w:eastAsia="仿宋_GB2312" w:hAnsi="Times New Roman" w:cs="Times New Roman"/>
          <w:sz w:val="32"/>
          <w:szCs w:val="32"/>
        </w:rPr>
        <w:t>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解决固体氧化物电池（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sz w:val="32"/>
          <w:szCs w:val="32"/>
        </w:rPr>
        <w:t>OC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）技术在分布式发电、电解水制氢、共电解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领域应用示范中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卡脖子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技术难题</w:t>
      </w:r>
      <w:r>
        <w:rPr>
          <w:rFonts w:ascii="Times New Roman" w:eastAsia="仿宋" w:hAnsi="Times New Roman" w:cs="Times New Roman"/>
          <w:sz w:val="32"/>
          <w:szCs w:val="32"/>
        </w:rPr>
        <w:t>和支撑产业高质量发展的关键技术需求</w:t>
      </w:r>
      <w:r>
        <w:rPr>
          <w:rFonts w:ascii="Times New Roman" w:eastAsia="仿宋_GB2312" w:hAnsi="Times New Roman" w:cs="Times New Roman"/>
          <w:sz w:val="32"/>
          <w:szCs w:val="32"/>
        </w:rPr>
        <w:t>。具体如下：</w:t>
      </w:r>
    </w:p>
    <w:p w:rsidR="00570DC6" w:rsidRP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</w:pPr>
      <w:r w:rsidRPr="00F160F4">
        <w:rPr>
          <w:rFonts w:ascii="黑体" w:eastAsia="黑体" w:hAnsi="黑体" w:cs="Times New Roman" w:hint="eastAsia"/>
          <w:b/>
          <w:color w:val="000000"/>
          <w:kern w:val="24"/>
          <w:sz w:val="32"/>
          <w:szCs w:val="32"/>
        </w:rPr>
        <w:t>一、</w:t>
      </w:r>
      <w:r w:rsidR="00000000" w:rsidRPr="00F160F4"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  <w:t>项目概况</w:t>
      </w:r>
    </w:p>
    <w:p w:rsidR="00570DC6" w:rsidRDefault="00000000" w:rsidP="001C3D61">
      <w:pPr>
        <w:pStyle w:val="a7"/>
        <w:widowControl w:val="0"/>
        <w:spacing w:after="0" w:line="600" w:lineRule="exact"/>
        <w:ind w:firstLine="640"/>
        <w:contextualSpacing/>
        <w:jc w:val="both"/>
        <w:rPr>
          <w:rFonts w:ascii="Times New Roman" w:eastAsia="仿宋_GB2312" w:hAnsi="Times New Roman" w:cs="Times New Roman"/>
          <w:kern w:val="3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陕西氢能发挥统领陕西全省氢能产业发展作用，统筹陕西全省氢能供应、产业基础和市场空间整体布局，协调产业链上下游企业，整合</w:t>
      </w:r>
      <w:proofErr w:type="gramStart"/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氢产业</w:t>
      </w:r>
      <w:proofErr w:type="gramEnd"/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各类资源，科学有序开展氢能技术创新和应用示范，构建协同发展的氢能产业发展新局面。陕西氢能以“落地榆林、发展陕西、辐射西北、建设一流企业，打造‘西部氢谷’”为战略目标，力争到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2030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年实现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万吨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年氢能供给、建设一个氢能产业链研发、生产、制造基地、建成一个氢能应用示范区、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10000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辆</w:t>
      </w:r>
      <w:proofErr w:type="gramStart"/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氢能重卡运营</w:t>
      </w:r>
      <w:proofErr w:type="gramEnd"/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服务场景平台、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亿元产值、撬动榆林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10000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亿元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GDP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t>发展的规划目标。根据陕西氢能公司总体战略规划，解决氢能产业的“卡脖子”技术，特设置“固体氧化物燃料电池技术研</w:t>
      </w:r>
      <w:r>
        <w:rPr>
          <w:rFonts w:ascii="Times New Roman" w:eastAsia="仿宋_GB2312" w:hAnsi="Times New Roman" w:cs="Times New Roman" w:hint="eastAsia"/>
          <w:kern w:val="36"/>
          <w:sz w:val="32"/>
          <w:szCs w:val="32"/>
        </w:rPr>
        <w:lastRenderedPageBreak/>
        <w:t>发与应用示范”项目。</w:t>
      </w:r>
    </w:p>
    <w:p w:rsidR="00570DC6" w:rsidRP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</w:pPr>
      <w:r w:rsidRPr="00F160F4">
        <w:rPr>
          <w:rFonts w:ascii="黑体" w:eastAsia="黑体" w:hAnsi="黑体" w:cs="Times New Roman" w:hint="eastAsia"/>
          <w:b/>
          <w:color w:val="000000"/>
          <w:kern w:val="24"/>
          <w:sz w:val="32"/>
          <w:szCs w:val="32"/>
        </w:rPr>
        <w:t>二、</w:t>
      </w:r>
      <w:r w:rsidR="00000000" w:rsidRPr="00F160F4"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  <w:t>存在的主要技术问题</w:t>
      </w:r>
    </w:p>
    <w:p w:rsidR="00570DC6" w:rsidRDefault="00000000" w:rsidP="001C3D61">
      <w:pPr>
        <w:pStyle w:val="a7"/>
        <w:widowControl w:val="0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国外先进水平已经达到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百千瓦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到兆瓦级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SOC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系统的商业化应用，而我国尚且没有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商用的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百千瓦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SOC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系统，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电堆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和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技术仍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有差距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。本项目拟开展高效率、大功率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SOC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系统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开发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，掌握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SOC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全产业链自主知识产权，并推动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SOC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系统的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国产化、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商业化。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拟解决的关键技术问题如下：</w:t>
      </w:r>
    </w:p>
    <w:p w:rsidR="00570DC6" w:rsidRPr="00F160F4" w:rsidRDefault="00F160F4" w:rsidP="001C3D61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jc w:val="both"/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</w:pPr>
      <w:r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（一）</w:t>
      </w:r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单电池/单体电解池运行参数</w:t>
      </w:r>
    </w:p>
    <w:p w:rsidR="00570DC6" w:rsidRDefault="00000000" w:rsidP="001C3D61">
      <w:pPr>
        <w:pStyle w:val="a7"/>
        <w:widowControl w:val="0"/>
        <w:spacing w:line="60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电池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、单体电解池的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性能与材料物性、结构参数等密切相关，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需要明确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电极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结构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在运行条件下的稳定性和组分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变化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，建立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运行参数、电极结构变化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与性能衰减之间的关系，有效指导电池结构设计及运行条件的优化。采用模拟仿真与实验紧密结合的方法，诠释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运行参数、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电池性能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与电池结构的作用关系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指导单电池、单体电解池结构优化和运行参数优化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。</w:t>
      </w:r>
    </w:p>
    <w:p w:rsidR="00570DC6" w:rsidRP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jc w:val="both"/>
        <w:rPr>
          <w:rFonts w:ascii="楷体_GB2312" w:eastAsia="楷体_GB2312" w:hAnsi="Times New Roman" w:cs="Times New Roman"/>
          <w:b/>
          <w:bCs/>
          <w:color w:val="000000"/>
          <w:kern w:val="24"/>
          <w:sz w:val="32"/>
          <w:szCs w:val="32"/>
        </w:rPr>
      </w:pPr>
      <w:r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（二）</w:t>
      </w:r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一致性</w:t>
      </w:r>
      <w:proofErr w:type="gramStart"/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电堆结构</w:t>
      </w:r>
      <w:proofErr w:type="gramEnd"/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及集成技术</w:t>
      </w:r>
    </w:p>
    <w:p w:rsidR="00570DC6" w:rsidRDefault="00000000" w:rsidP="001C3D61">
      <w:pPr>
        <w:pStyle w:val="a7"/>
        <w:widowControl w:val="0"/>
        <w:spacing w:line="60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由于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电堆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结构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布局及燃料流量、压力等因素，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导致电堆单元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组件间温度、组分分布不均，不利于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电堆稳定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运行；在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系统负载变化时，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进出电堆的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燃料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尾气流量、压力、温度也会随之发生变化，可能会出现燃料亏空、积碳、超出温度约束、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电堆效率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降低等问题。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将电堆在线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测试、工况调节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结合电堆多物理场耦合模型，研究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内部组分、温度、电流密度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分布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等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与电堆的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结构、形状等的关系，剖析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lastRenderedPageBreak/>
        <w:t>在不同工况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下电堆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结构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、性能与运行参数的关系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指导开发高一致性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电堆结构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及相应的集成技术，形成批量化制备能力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。</w:t>
      </w:r>
    </w:p>
    <w:p w:rsidR="00570DC6" w:rsidRP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jc w:val="both"/>
        <w:rPr>
          <w:rFonts w:ascii="楷体_GB2312" w:eastAsia="楷体_GB2312" w:hAnsi="Times New Roman" w:cs="Times New Roman"/>
          <w:b/>
          <w:bCs/>
          <w:color w:val="000000"/>
          <w:kern w:val="24"/>
          <w:sz w:val="32"/>
          <w:szCs w:val="32"/>
        </w:rPr>
      </w:pPr>
      <w:r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（三）</w:t>
      </w:r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高可靠性模组集成策略</w:t>
      </w:r>
    </w:p>
    <w:p w:rsidR="00570DC6" w:rsidRDefault="00000000" w:rsidP="001C3D61">
      <w:pPr>
        <w:pStyle w:val="a7"/>
        <w:widowControl w:val="0"/>
        <w:spacing w:line="60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建立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多级电堆的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模组模型，获得模组内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各级电堆串并联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方式及所含单元数与热电综合性能的映射关系，提出具有广泛适用性的模组结构优化方案；结合模组输出功率、发电效率、安全运行等需求，通过实验测量与仿真模拟，明确不同燃料组分与运行工况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下模组内电堆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发热量与局部温度；建立模组传热模型，优化空气流量、入口温度、外加热量等参数，优选模组隔热材料，集成大功率安全可靠的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电堆模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组。</w:t>
      </w:r>
    </w:p>
    <w:p w:rsidR="00570DC6" w:rsidRP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jc w:val="both"/>
        <w:rPr>
          <w:rFonts w:ascii="楷体_GB2312" w:eastAsia="楷体_GB2312" w:hAnsi="Times New Roman" w:cs="Times New Roman"/>
          <w:b/>
          <w:bCs/>
          <w:color w:val="000000"/>
          <w:kern w:val="24"/>
          <w:sz w:val="32"/>
          <w:szCs w:val="32"/>
        </w:rPr>
      </w:pPr>
      <w:r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（四）</w:t>
      </w:r>
      <w:r w:rsidR="00000000" w:rsidRPr="00F160F4">
        <w:rPr>
          <w:rFonts w:ascii="楷体_GB2312" w:eastAsia="楷体_GB2312" w:hAnsi="Times New Roman" w:cs="Times New Roman" w:hint="eastAsia"/>
          <w:b/>
          <w:bCs/>
          <w:color w:val="000000"/>
          <w:kern w:val="24"/>
          <w:sz w:val="32"/>
          <w:szCs w:val="32"/>
        </w:rPr>
        <w:t>系统优化设计及热平衡管理方案</w:t>
      </w:r>
    </w:p>
    <w:p w:rsidR="00570DC6" w:rsidRDefault="00000000" w:rsidP="001C3D61">
      <w:pPr>
        <w:pStyle w:val="a7"/>
        <w:widowControl w:val="0"/>
        <w:spacing w:line="60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设计高度集成的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热管理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和气体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供给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模块</w:t>
      </w:r>
      <w:bookmarkStart w:id="0" w:name="_Hlk140759051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</w:t>
      </w:r>
      <w:bookmarkStart w:id="1" w:name="_Hlk140759646"/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通过系统仿真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构造多种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流程方案，包括不同的高温部件布置、</w:t>
      </w:r>
      <w:proofErr w:type="gramStart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电堆模块</w:t>
      </w:r>
      <w:proofErr w:type="gramEnd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组合方式、尾气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部分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循环方案等，获得详细的物料及热量平衡数据，进行能效分析、成本分析及敏感性分析，确定最优的系统设计方案。</w:t>
      </w:r>
      <w:bookmarkEnd w:id="0"/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参照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模组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的最佳工作温度，选择合适的换热和加热方式，对热管理系统进行优化设计，提高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系统综合能源转化效率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，提出稳定可靠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系统管理</w:t>
      </w:r>
      <w:r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  <w:t>方案</w:t>
      </w: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。</w:t>
      </w:r>
    </w:p>
    <w:bookmarkEnd w:id="1"/>
    <w:p w:rsidR="00570DC6" w:rsidRPr="00F160F4" w:rsidRDefault="00F160F4" w:rsidP="008C30BA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</w:pPr>
      <w:r w:rsidRPr="00F160F4">
        <w:rPr>
          <w:rFonts w:ascii="黑体" w:eastAsia="黑体" w:hAnsi="黑体" w:cs="Times New Roman" w:hint="eastAsia"/>
          <w:b/>
          <w:color w:val="000000"/>
          <w:kern w:val="24"/>
          <w:sz w:val="32"/>
          <w:szCs w:val="32"/>
        </w:rPr>
        <w:t>三、</w:t>
      </w:r>
      <w:r w:rsidR="008C30BA" w:rsidRPr="00F160F4">
        <w:rPr>
          <w:rFonts w:ascii="黑体" w:eastAsia="黑体" w:hAnsi="黑体" w:cs="Times New Roman"/>
          <w:b/>
          <w:color w:val="000000"/>
          <w:kern w:val="24"/>
          <w:sz w:val="32"/>
          <w:szCs w:val="32"/>
        </w:rPr>
        <w:t>预期目标</w:t>
      </w:r>
    </w:p>
    <w:p w:rsidR="00F160F4" w:rsidRDefault="00000000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项目将建成固体氧化物电池技术分布式发电、电解水制</w:t>
      </w:r>
      <w:r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氢、共电解</w:t>
      </w:r>
      <w:r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CO</w:t>
      </w:r>
      <w:r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  <w:vertAlign w:val="subscript"/>
        </w:rPr>
        <w:t>2</w:t>
      </w:r>
      <w:r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示范系统。主要考核指标如下：</w:t>
      </w:r>
    </w:p>
    <w:p w:rsid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lastRenderedPageBreak/>
        <w:t>（一）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SOFC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分布式发电系统：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输出功率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500kW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，系统综合热电效率≥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85%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，兼具多燃料适应性；</w:t>
      </w:r>
    </w:p>
    <w:p w:rsidR="00F160F4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（二）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SOEC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电解制氢系统：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电解功率≥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100kW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，</w:t>
      </w:r>
      <w:proofErr w:type="gramStart"/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产氢量</w:t>
      </w:r>
      <w:proofErr w:type="gramEnd"/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≥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30Nm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  <w:vertAlign w:val="superscript"/>
        </w:rPr>
        <w:t>3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/h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，直流电耗≤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4.0kWh/Nm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  <w:vertAlign w:val="superscript"/>
        </w:rPr>
        <w:t>3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；</w:t>
      </w:r>
    </w:p>
    <w:p w:rsidR="00570DC6" w:rsidRPr="006E34E5" w:rsidRDefault="00F160F4" w:rsidP="00F160F4">
      <w:pPr>
        <w:pStyle w:val="a7"/>
        <w:widowControl w:val="0"/>
        <w:spacing w:before="0" w:beforeAutospacing="0" w:after="0" w:afterAutospacing="0" w:line="600" w:lineRule="exact"/>
        <w:ind w:firstLineChars="200" w:firstLine="643"/>
        <w:contextualSpacing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  <w:r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（三）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共电解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CO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  <w:vertAlign w:val="subscript"/>
        </w:rPr>
        <w:t>2</w:t>
      </w:r>
      <w:r w:rsidR="00000000" w:rsidRPr="00F160F4">
        <w:rPr>
          <w:rFonts w:ascii="Times New Roman" w:eastAsia="仿宋_GB2312" w:hAnsi="Times New Roman" w:cs="Times New Roman" w:hint="eastAsia"/>
          <w:b/>
          <w:bCs/>
          <w:color w:val="000000"/>
          <w:kern w:val="24"/>
          <w:sz w:val="32"/>
          <w:szCs w:val="32"/>
        </w:rPr>
        <w:t>系统：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电解功率≥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20kW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，直流电耗≤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4.2kWh/Nm</w:t>
      </w:r>
      <w:r w:rsidR="00000000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  <w:vertAlign w:val="superscript"/>
        </w:rPr>
        <w:t>3</w:t>
      </w:r>
      <w:r w:rsidR="006E34E5" w:rsidRPr="006E34E5">
        <w:rPr>
          <w:rFonts w:ascii="Times New Roman" w:eastAsia="仿宋_GB2312" w:hAnsi="Times New Roman" w:cs="Times New Roman" w:hint="eastAsia"/>
          <w:color w:val="000000"/>
          <w:kern w:val="24"/>
          <w:sz w:val="32"/>
          <w:szCs w:val="32"/>
        </w:rPr>
        <w:t>。</w:t>
      </w:r>
    </w:p>
    <w:p w:rsidR="00570DC6" w:rsidRDefault="00570DC6" w:rsidP="001C3D61">
      <w:pPr>
        <w:pStyle w:val="a7"/>
        <w:widowControl w:val="0"/>
        <w:spacing w:after="0" w:line="600" w:lineRule="exact"/>
        <w:contextualSpacing/>
        <w:rPr>
          <w:rFonts w:ascii="Times New Roman" w:eastAsia="仿宋_GB2312" w:hAnsi="Times New Roman" w:cs="Times New Roman"/>
          <w:color w:val="000000"/>
          <w:kern w:val="24"/>
          <w:sz w:val="32"/>
          <w:szCs w:val="32"/>
        </w:rPr>
      </w:pPr>
    </w:p>
    <w:sectPr w:rsidR="00570DC6" w:rsidSect="00081856">
      <w:footerReference w:type="even" r:id="rId7"/>
      <w:footerReference w:type="default" r:id="rId8"/>
      <w:pgSz w:w="11906" w:h="16838"/>
      <w:pgMar w:top="2098" w:right="1361" w:bottom="1985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9F2" w:rsidRDefault="007269F2">
      <w:pPr>
        <w:spacing w:line="240" w:lineRule="auto"/>
      </w:pPr>
      <w:r>
        <w:separator/>
      </w:r>
    </w:p>
  </w:endnote>
  <w:endnote w:type="continuationSeparator" w:id="0">
    <w:p w:rsidR="007269F2" w:rsidRDefault="00726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65A3AF7D-E9E7-40D6-B1C4-71A139E44BD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2" w:subsetted="1" w:fontKey="{C9231E61-7D94-4D4A-88CD-6418293FAA85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FE2204B-37E0-4C5B-9983-1F1DC0CC9E8F}"/>
    <w:embedBold r:id="rId4" w:subsetted="1" w:fontKey="{15A449D5-58CC-4AF8-8E4B-7D62A416196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B1A3D7F-9073-40A0-B0C3-6E82CF5DE16D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8F9689A4-6E70-435E-899D-378DD74B38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DC6" w:rsidRDefault="00000000">
    <w:pPr>
      <w:pStyle w:val="a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DC6" w:rsidRDefault="00000000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9F2" w:rsidRDefault="007269F2">
      <w:pPr>
        <w:spacing w:after="0"/>
      </w:pPr>
      <w:r>
        <w:separator/>
      </w:r>
    </w:p>
  </w:footnote>
  <w:footnote w:type="continuationSeparator" w:id="0">
    <w:p w:rsidR="007269F2" w:rsidRDefault="00726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171"/>
    <w:multiLevelType w:val="hybridMultilevel"/>
    <w:tmpl w:val="9A7C30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D0D0381"/>
    <w:multiLevelType w:val="multilevel"/>
    <w:tmpl w:val="5D0D0381"/>
    <w:lvl w:ilvl="0">
      <w:start w:val="3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2" w15:restartNumberingAfterBreak="0">
    <w:nsid w:val="621E6B59"/>
    <w:multiLevelType w:val="multilevel"/>
    <w:tmpl w:val="621E6B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7564">
    <w:abstractNumId w:val="1"/>
  </w:num>
  <w:num w:numId="2" w16cid:durableId="498622105">
    <w:abstractNumId w:val="2"/>
  </w:num>
  <w:num w:numId="3" w16cid:durableId="205607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zMmE5ZWExZGI4MjE1MjIzZDlkYjhiN2YwYTk1ODkifQ=="/>
  </w:docVars>
  <w:rsids>
    <w:rsidRoot w:val="00FA029A"/>
    <w:rsid w:val="000017F6"/>
    <w:rsid w:val="00010736"/>
    <w:rsid w:val="00052C75"/>
    <w:rsid w:val="000539B7"/>
    <w:rsid w:val="00077AF0"/>
    <w:rsid w:val="00081856"/>
    <w:rsid w:val="000A5881"/>
    <w:rsid w:val="000B68A1"/>
    <w:rsid w:val="000C374A"/>
    <w:rsid w:val="000E3C7D"/>
    <w:rsid w:val="000E4FC0"/>
    <w:rsid w:val="000E7066"/>
    <w:rsid w:val="0010383C"/>
    <w:rsid w:val="0011109F"/>
    <w:rsid w:val="001342C4"/>
    <w:rsid w:val="00157976"/>
    <w:rsid w:val="00193AB5"/>
    <w:rsid w:val="001946BB"/>
    <w:rsid w:val="001A1774"/>
    <w:rsid w:val="001B246C"/>
    <w:rsid w:val="001B4505"/>
    <w:rsid w:val="001C3D61"/>
    <w:rsid w:val="001D322C"/>
    <w:rsid w:val="001D55DE"/>
    <w:rsid w:val="001E3192"/>
    <w:rsid w:val="00205C01"/>
    <w:rsid w:val="00210D28"/>
    <w:rsid w:val="002218C0"/>
    <w:rsid w:val="002261D5"/>
    <w:rsid w:val="0027156C"/>
    <w:rsid w:val="0027592F"/>
    <w:rsid w:val="002A7849"/>
    <w:rsid w:val="002C6F1E"/>
    <w:rsid w:val="003017CE"/>
    <w:rsid w:val="0032313B"/>
    <w:rsid w:val="003270E0"/>
    <w:rsid w:val="003430B8"/>
    <w:rsid w:val="0035478B"/>
    <w:rsid w:val="00361B3D"/>
    <w:rsid w:val="00367027"/>
    <w:rsid w:val="003709F8"/>
    <w:rsid w:val="003950EB"/>
    <w:rsid w:val="003B02C3"/>
    <w:rsid w:val="003B0921"/>
    <w:rsid w:val="003B2B8D"/>
    <w:rsid w:val="003F3D06"/>
    <w:rsid w:val="00404A1E"/>
    <w:rsid w:val="00412B32"/>
    <w:rsid w:val="00441F17"/>
    <w:rsid w:val="00442710"/>
    <w:rsid w:val="004511CF"/>
    <w:rsid w:val="00451FE2"/>
    <w:rsid w:val="00465AAE"/>
    <w:rsid w:val="00471335"/>
    <w:rsid w:val="00491948"/>
    <w:rsid w:val="00495EDF"/>
    <w:rsid w:val="004A5CBE"/>
    <w:rsid w:val="004C1273"/>
    <w:rsid w:val="004C4B00"/>
    <w:rsid w:val="004C7130"/>
    <w:rsid w:val="004E6404"/>
    <w:rsid w:val="0051302C"/>
    <w:rsid w:val="0052429A"/>
    <w:rsid w:val="00535542"/>
    <w:rsid w:val="00542F08"/>
    <w:rsid w:val="00552937"/>
    <w:rsid w:val="00553102"/>
    <w:rsid w:val="00570DC6"/>
    <w:rsid w:val="00573CA3"/>
    <w:rsid w:val="00577612"/>
    <w:rsid w:val="005946DC"/>
    <w:rsid w:val="005A64EA"/>
    <w:rsid w:val="005B557C"/>
    <w:rsid w:val="005C2FA7"/>
    <w:rsid w:val="005C37B0"/>
    <w:rsid w:val="005D5541"/>
    <w:rsid w:val="005E18BE"/>
    <w:rsid w:val="005F02A8"/>
    <w:rsid w:val="005F32F0"/>
    <w:rsid w:val="006064EA"/>
    <w:rsid w:val="0061569B"/>
    <w:rsid w:val="006173B2"/>
    <w:rsid w:val="006375C6"/>
    <w:rsid w:val="006377BB"/>
    <w:rsid w:val="00685530"/>
    <w:rsid w:val="00690501"/>
    <w:rsid w:val="00697805"/>
    <w:rsid w:val="006A118D"/>
    <w:rsid w:val="006A4469"/>
    <w:rsid w:val="006A5BD9"/>
    <w:rsid w:val="006A6162"/>
    <w:rsid w:val="006A784D"/>
    <w:rsid w:val="006B02E0"/>
    <w:rsid w:val="006C3B32"/>
    <w:rsid w:val="006E054B"/>
    <w:rsid w:val="006E34E5"/>
    <w:rsid w:val="006F37EF"/>
    <w:rsid w:val="00707C03"/>
    <w:rsid w:val="00724163"/>
    <w:rsid w:val="007269F2"/>
    <w:rsid w:val="00731B37"/>
    <w:rsid w:val="00734799"/>
    <w:rsid w:val="007356F4"/>
    <w:rsid w:val="00740515"/>
    <w:rsid w:val="0074081D"/>
    <w:rsid w:val="00746090"/>
    <w:rsid w:val="007D6EE6"/>
    <w:rsid w:val="007F1E25"/>
    <w:rsid w:val="007F4741"/>
    <w:rsid w:val="008226EB"/>
    <w:rsid w:val="008272C1"/>
    <w:rsid w:val="00827CB8"/>
    <w:rsid w:val="00846811"/>
    <w:rsid w:val="00860189"/>
    <w:rsid w:val="00887299"/>
    <w:rsid w:val="008928E9"/>
    <w:rsid w:val="00892A2E"/>
    <w:rsid w:val="00893826"/>
    <w:rsid w:val="008A6C4B"/>
    <w:rsid w:val="008C17F8"/>
    <w:rsid w:val="008C30BA"/>
    <w:rsid w:val="008E0524"/>
    <w:rsid w:val="0091731D"/>
    <w:rsid w:val="009715EB"/>
    <w:rsid w:val="00984C2D"/>
    <w:rsid w:val="0099421D"/>
    <w:rsid w:val="009D4DCB"/>
    <w:rsid w:val="00A366C2"/>
    <w:rsid w:val="00A453F4"/>
    <w:rsid w:val="00A474DB"/>
    <w:rsid w:val="00A67797"/>
    <w:rsid w:val="00A711E7"/>
    <w:rsid w:val="00A844A3"/>
    <w:rsid w:val="00A86B4C"/>
    <w:rsid w:val="00A96CC9"/>
    <w:rsid w:val="00AA39C6"/>
    <w:rsid w:val="00AB50D1"/>
    <w:rsid w:val="00AD0864"/>
    <w:rsid w:val="00AD1043"/>
    <w:rsid w:val="00AE1206"/>
    <w:rsid w:val="00AE1CC3"/>
    <w:rsid w:val="00AE3AC0"/>
    <w:rsid w:val="00B06DC9"/>
    <w:rsid w:val="00B204FB"/>
    <w:rsid w:val="00B56DE0"/>
    <w:rsid w:val="00B60153"/>
    <w:rsid w:val="00BA0D17"/>
    <w:rsid w:val="00BD0F3A"/>
    <w:rsid w:val="00BD295F"/>
    <w:rsid w:val="00BE7409"/>
    <w:rsid w:val="00BF351F"/>
    <w:rsid w:val="00C20208"/>
    <w:rsid w:val="00C30CF8"/>
    <w:rsid w:val="00C52446"/>
    <w:rsid w:val="00C722E0"/>
    <w:rsid w:val="00C801B8"/>
    <w:rsid w:val="00C807A7"/>
    <w:rsid w:val="00C83601"/>
    <w:rsid w:val="00C9461C"/>
    <w:rsid w:val="00C968E6"/>
    <w:rsid w:val="00CA235B"/>
    <w:rsid w:val="00CB3C23"/>
    <w:rsid w:val="00CC3A42"/>
    <w:rsid w:val="00CC478C"/>
    <w:rsid w:val="00CE3C4D"/>
    <w:rsid w:val="00CF3D59"/>
    <w:rsid w:val="00CF5319"/>
    <w:rsid w:val="00CF728D"/>
    <w:rsid w:val="00D00A6B"/>
    <w:rsid w:val="00D232E6"/>
    <w:rsid w:val="00D37207"/>
    <w:rsid w:val="00D42344"/>
    <w:rsid w:val="00D43AFC"/>
    <w:rsid w:val="00D72DE0"/>
    <w:rsid w:val="00DA0AC6"/>
    <w:rsid w:val="00DA3FDA"/>
    <w:rsid w:val="00DC7A8F"/>
    <w:rsid w:val="00DE2B92"/>
    <w:rsid w:val="00DE7B3F"/>
    <w:rsid w:val="00E40384"/>
    <w:rsid w:val="00E5593D"/>
    <w:rsid w:val="00EB6473"/>
    <w:rsid w:val="00EE1DCA"/>
    <w:rsid w:val="00EF0F6D"/>
    <w:rsid w:val="00F11A49"/>
    <w:rsid w:val="00F15DDB"/>
    <w:rsid w:val="00F160F4"/>
    <w:rsid w:val="00F2534E"/>
    <w:rsid w:val="00F36357"/>
    <w:rsid w:val="00F36AB0"/>
    <w:rsid w:val="00F429C1"/>
    <w:rsid w:val="00F643AD"/>
    <w:rsid w:val="00F844BB"/>
    <w:rsid w:val="00F87FBF"/>
    <w:rsid w:val="00F90DE8"/>
    <w:rsid w:val="00FA029A"/>
    <w:rsid w:val="00FC3652"/>
    <w:rsid w:val="00FE7909"/>
    <w:rsid w:val="115B4B8E"/>
    <w:rsid w:val="442B201A"/>
    <w:rsid w:val="467001B9"/>
    <w:rsid w:val="490D6193"/>
    <w:rsid w:val="498F4DFA"/>
    <w:rsid w:val="4CF431C6"/>
    <w:rsid w:val="56B57343"/>
    <w:rsid w:val="5A8B7E1C"/>
    <w:rsid w:val="5B8F2A37"/>
    <w:rsid w:val="5F797C86"/>
    <w:rsid w:val="61637227"/>
    <w:rsid w:val="62985788"/>
    <w:rsid w:val="63A64DC2"/>
    <w:rsid w:val="6BFB1A23"/>
    <w:rsid w:val="6C6677E4"/>
    <w:rsid w:val="72716806"/>
    <w:rsid w:val="741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9D264"/>
  <w15:docId w15:val="{6B6E4218-8CCC-4231-91D2-82EEDE27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秦创原延长石油科技创新与成果转化中心</dc:title>
  <dc:creator>Dell</dc:creator>
  <cp:lastModifiedBy>王柯如</cp:lastModifiedBy>
  <cp:revision>17</cp:revision>
  <dcterms:created xsi:type="dcterms:W3CDTF">2023-11-20T06:40:00Z</dcterms:created>
  <dcterms:modified xsi:type="dcterms:W3CDTF">2023-12-04T07:46:00Z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0ACD9E45B17145C6A958D6B316BBEB68_12</vt:lpwstr>
  </property>
</Properties>
</file>